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Kisbér Város Önkormányzata Képviselő-testületének .../.... (...) önkormányzati rendelete</w:t>
      </w:r>
    </w:p>
    <w:p>
      <w:pPr>
        <w:pStyle w:val="TextBody"/>
        <w:bidi w:val="0"/>
        <w:spacing w:lineRule="auto" w:line="240" w:before="240" w:after="48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helyi önkormányzati képviselők és a bizottság elnökének és tagjainak tiszteletdíjáról szóló 25/2020 (XII.22.) önkormányzati rendelet módosításáról</w:t>
      </w:r>
    </w:p>
    <w:p>
      <w:pPr>
        <w:pStyle w:val="TextBody"/>
        <w:bidi w:val="0"/>
        <w:spacing w:lineRule="auto" w:line="240" w:before="22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Kisbér Város Önkormányzatának Képviselő-testülete a Magyarország helyi önkormányzatairól szóló 2011. CLXXXIX. törvény 143. § (4) bekezdés f) pontjában kapott felhatalmazás alapján, a Magyarország helyi önkormányzatairól szóló 2011. CLXXXIX. törvény 35. § (1) bekezdésében meghatározott feladatkörében eljárva a következőket rendeli el: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helyi önkormányzati képviselők és a bizottság elnökének és tagjainak tiszteletdíjáról szóló 25/2020 (XII.22.) önkormányzati rendelet a következő 1/A. §-sal egészül ki: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1/A.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(1) A települési önkormányzati képviselők természetbeni juttatásként jogosultak: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a)</w:t>
      </w:r>
      <w:r>
        <w:rPr>
          <w:sz w:val="24"/>
          <w:szCs w:val="24"/>
        </w:rPr>
        <w:tab/>
        <w:t>internet előfizetésre,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b)</w:t>
      </w:r>
      <w:r>
        <w:rPr>
          <w:sz w:val="24"/>
          <w:szCs w:val="24"/>
        </w:rPr>
        <w:tab/>
        <w:t>az önkormányzat mindenkori mobiltelefon-flottájába történő belépésre.</w:t>
      </w:r>
    </w:p>
    <w:p>
      <w:pPr>
        <w:pStyle w:val="TextBody"/>
        <w:bidi w:val="0"/>
        <w:spacing w:lineRule="auto" w:line="240" w:before="240" w:after="24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(2) A települési önkormányzati képviselőnek az (1) bekezdés a) pontja szerinti természetbeni juttatást az általa előlegezett, számlával igazolt, szükséges költsége megtéríthető.”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helyi önkormányzati képviselők és a bizottság elnökének és tagjainak tiszteletdíjáról szóló 25/2020 (XII.22.) önkormányzati rendelet 2. § (2) bekezdése helyébe a következő rendelkezés lép:</w:t>
      </w:r>
    </w:p>
    <w:p>
      <w:pPr>
        <w:pStyle w:val="TextBody"/>
        <w:bidi w:val="0"/>
        <w:spacing w:lineRule="auto" w:line="240" w:before="240" w:after="24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(2) Hatályát veszti a helyi önkormányzati képviselők és a bizottság elnökének és tagjainak tiszteletdíjáról szóló 18/2014.(XII.12.) önkormányzati rendelet.”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Hatályát veszti a helyi önkormányzati képviselők és a bizottság elnökének és tagjainak tiszteletdíjáról szóló 25/2020 (XII.22.) önkormányzati rendelet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a)</w:t>
      </w:r>
      <w:r>
        <w:rPr>
          <w:sz w:val="24"/>
          <w:szCs w:val="24"/>
        </w:rPr>
        <w:tab/>
        <w:t>„Dr. Dörnyei Vendel” alcím címe,</w:t>
      </w:r>
    </w:p>
    <w:p>
      <w:pPr>
        <w:pStyle w:val="TextBody"/>
        <w:bidi w:val="0"/>
        <w:spacing w:lineRule="auto" w:line="240" w:before="0" w:after="0"/>
        <w:ind w:left="580" w:hanging="560"/>
        <w:jc w:val="both"/>
        <w:rPr>
          <w:rFonts w:ascii="Times New Roman" w:hAnsi="Times New Roman"/>
          <w:sz w:val="24"/>
          <w:szCs w:val="24"/>
        </w:rPr>
      </w:pPr>
      <w:r>
        <w:rPr>
          <w:i/>
          <w:iCs/>
          <w:sz w:val="24"/>
          <w:szCs w:val="24"/>
        </w:rPr>
        <w:t>b)</w:t>
      </w:r>
      <w:r>
        <w:rPr>
          <w:sz w:val="24"/>
          <w:szCs w:val="24"/>
        </w:rPr>
        <w:tab/>
        <w:t>„jegyző” alcím címe.</w:t>
      </w:r>
    </w:p>
    <w:p>
      <w:pPr>
        <w:pStyle w:val="TextBody"/>
        <w:bidi w:val="0"/>
        <w:spacing w:lineRule="auto" w:line="240" w:before="240" w:after="240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§</w:t>
      </w:r>
    </w:p>
    <w:p>
      <w:pPr>
        <w:pStyle w:val="TextBody"/>
        <w:bidi w:val="0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Ez a rendelet a kihirdetését követő harmadik napon lép hatályba.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hu-H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>
      <w:lang w:val="hu-HU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LibreOffice_project/144abb84a525d8e30c9dbbefa69cbbf2d8d4ae3b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2017-08-15T13:24:49Z</dcterms:created>
  <dc:creator/>
  <dc:description/>
  <dc:language>en-US</dc:language>
  <cp:lastModifiedBy/>
  <dcterms:modified xsi:type="dcterms:W3CDTF">2018-01-30T11:27:53Z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